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307" w:rsidRPr="00636307" w:rsidRDefault="000B53CF" w:rsidP="00636307">
      <w:pPr>
        <w:spacing w:line="480" w:lineRule="auto"/>
        <w:rPr>
          <w:rFonts w:ascii="Times New Roman" w:hAnsi="Times New Roman" w:cs="Times New Roman"/>
          <w:sz w:val="24"/>
          <w:szCs w:val="24"/>
        </w:rPr>
      </w:pPr>
      <w:r w:rsidRPr="00636307">
        <w:rPr>
          <w:rFonts w:ascii="Times New Roman" w:hAnsi="Times New Roman" w:cs="Times New Roman"/>
          <w:sz w:val="24"/>
          <w:szCs w:val="24"/>
        </w:rPr>
        <w:t>Name</w:t>
      </w:r>
    </w:p>
    <w:p w:rsidR="00636307" w:rsidRPr="00636307" w:rsidRDefault="000B53CF" w:rsidP="00636307">
      <w:pPr>
        <w:spacing w:line="480" w:lineRule="auto"/>
        <w:rPr>
          <w:rFonts w:ascii="Times New Roman" w:hAnsi="Times New Roman" w:cs="Times New Roman"/>
          <w:sz w:val="24"/>
          <w:szCs w:val="24"/>
        </w:rPr>
      </w:pPr>
      <w:r w:rsidRPr="00636307">
        <w:rPr>
          <w:rFonts w:ascii="Times New Roman" w:hAnsi="Times New Roman" w:cs="Times New Roman"/>
          <w:sz w:val="24"/>
          <w:szCs w:val="24"/>
        </w:rPr>
        <w:t>Instructor</w:t>
      </w:r>
    </w:p>
    <w:p w:rsidR="00636307" w:rsidRPr="00636307" w:rsidRDefault="000B53CF" w:rsidP="00636307">
      <w:pPr>
        <w:spacing w:line="480" w:lineRule="auto"/>
        <w:rPr>
          <w:rFonts w:ascii="Times New Roman" w:hAnsi="Times New Roman" w:cs="Times New Roman"/>
          <w:sz w:val="24"/>
          <w:szCs w:val="24"/>
        </w:rPr>
      </w:pPr>
      <w:r w:rsidRPr="00636307">
        <w:rPr>
          <w:rFonts w:ascii="Times New Roman" w:hAnsi="Times New Roman" w:cs="Times New Roman"/>
          <w:sz w:val="24"/>
          <w:szCs w:val="24"/>
        </w:rPr>
        <w:t>Course</w:t>
      </w:r>
    </w:p>
    <w:p w:rsidR="00636307" w:rsidRDefault="000B53CF" w:rsidP="00636307">
      <w:pPr>
        <w:spacing w:after="0" w:line="480" w:lineRule="auto"/>
        <w:rPr>
          <w:rFonts w:ascii="Times New Roman" w:hAnsi="Times New Roman" w:cs="Times New Roman"/>
          <w:sz w:val="24"/>
          <w:szCs w:val="24"/>
        </w:rPr>
      </w:pPr>
      <w:r w:rsidRPr="00636307">
        <w:rPr>
          <w:rFonts w:ascii="Times New Roman" w:hAnsi="Times New Roman" w:cs="Times New Roman"/>
          <w:sz w:val="24"/>
          <w:szCs w:val="24"/>
        </w:rPr>
        <w:t>Date</w:t>
      </w:r>
    </w:p>
    <w:p w:rsidR="00636307" w:rsidRPr="00636307" w:rsidRDefault="000B53CF" w:rsidP="006363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Trial </w:t>
      </w:r>
      <w:r w:rsidR="00C067A7">
        <w:rPr>
          <w:rFonts w:ascii="Times New Roman" w:hAnsi="Times New Roman" w:cs="Times New Roman"/>
          <w:sz w:val="24"/>
          <w:szCs w:val="24"/>
        </w:rPr>
        <w:t>within</w:t>
      </w:r>
      <w:r>
        <w:rPr>
          <w:rFonts w:ascii="Times New Roman" w:hAnsi="Times New Roman" w:cs="Times New Roman"/>
          <w:sz w:val="24"/>
          <w:szCs w:val="24"/>
        </w:rPr>
        <w:t xml:space="preserve"> Reasonable Time</w:t>
      </w:r>
    </w:p>
    <w:p w:rsidR="007C41CF" w:rsidRPr="00FC2343" w:rsidRDefault="000B53CF" w:rsidP="00FC2343">
      <w:pPr>
        <w:spacing w:after="0" w:line="480" w:lineRule="auto"/>
        <w:ind w:firstLine="720"/>
        <w:jc w:val="both"/>
        <w:rPr>
          <w:rFonts w:ascii="Times New Roman" w:hAnsi="Times New Roman" w:cs="Times New Roman"/>
          <w:sz w:val="24"/>
          <w:szCs w:val="24"/>
        </w:rPr>
      </w:pPr>
      <w:r w:rsidRPr="00FC2343">
        <w:rPr>
          <w:rFonts w:ascii="Times New Roman" w:hAnsi="Times New Roman" w:cs="Times New Roman"/>
          <w:sz w:val="24"/>
          <w:szCs w:val="24"/>
        </w:rPr>
        <w:t xml:space="preserve">Section 11(b) of the </w:t>
      </w:r>
      <w:r w:rsidRPr="00FC2343">
        <w:rPr>
          <w:rFonts w:ascii="Times New Roman" w:hAnsi="Times New Roman" w:cs="Times New Roman"/>
          <w:i/>
          <w:sz w:val="24"/>
          <w:szCs w:val="24"/>
        </w:rPr>
        <w:t xml:space="preserve">Charter </w:t>
      </w:r>
      <w:r w:rsidRPr="00FC2343">
        <w:rPr>
          <w:rFonts w:ascii="Times New Roman" w:hAnsi="Times New Roman" w:cs="Times New Roman"/>
          <w:sz w:val="24"/>
          <w:szCs w:val="24"/>
        </w:rPr>
        <w:t xml:space="preserve">states that any person charged with a criminal offense has the right to be tried within a reasonable period. The Supreme Court of Canada's landmark decision in </w:t>
      </w:r>
      <w:r w:rsidRPr="00FC2343">
        <w:rPr>
          <w:rFonts w:ascii="Times New Roman" w:hAnsi="Times New Roman" w:cs="Times New Roman"/>
          <w:i/>
          <w:sz w:val="24"/>
          <w:szCs w:val="24"/>
        </w:rPr>
        <w:t xml:space="preserve">R. v. Jordan </w:t>
      </w:r>
      <w:r w:rsidRPr="00FC2343">
        <w:rPr>
          <w:rFonts w:ascii="Times New Roman" w:hAnsi="Times New Roman" w:cs="Times New Roman"/>
          <w:sz w:val="24"/>
          <w:szCs w:val="24"/>
        </w:rPr>
        <w:t>radically altered the test for calculating unreasonable delay. At the heart of the new framework is a ceiling beyond which delay is presumptively unreasonable. The possible maximum of unreasonable delay is set at 18 months for cases going to t</w:t>
      </w:r>
      <w:r w:rsidRPr="00FC2343">
        <w:rPr>
          <w:rFonts w:ascii="Times New Roman" w:hAnsi="Times New Roman" w:cs="Times New Roman"/>
          <w:sz w:val="24"/>
          <w:szCs w:val="24"/>
        </w:rPr>
        <w:t>rial in the Ontario Court of Justice and 30 months for matters proceeding to trial in the Superior Court.</w:t>
      </w:r>
    </w:p>
    <w:p w:rsidR="007C41CF" w:rsidRPr="00FC2343" w:rsidRDefault="000B53CF" w:rsidP="00FC2343">
      <w:pPr>
        <w:spacing w:line="480" w:lineRule="auto"/>
        <w:ind w:left="1440" w:firstLine="720"/>
        <w:rPr>
          <w:rFonts w:ascii="Times New Roman" w:hAnsi="Times New Roman" w:cs="Times New Roman"/>
          <w:sz w:val="24"/>
          <w:szCs w:val="24"/>
        </w:rPr>
      </w:pPr>
      <w:r w:rsidRPr="00FC2343">
        <w:rPr>
          <w:rFonts w:ascii="Times New Roman" w:hAnsi="Times New Roman" w:cs="Times New Roman"/>
          <w:i/>
          <w:sz w:val="24"/>
          <w:szCs w:val="24"/>
        </w:rPr>
        <w:t xml:space="preserve">R. v. Jordan, </w:t>
      </w:r>
      <w:r w:rsidRPr="00FC2343">
        <w:rPr>
          <w:rFonts w:ascii="Times New Roman" w:hAnsi="Times New Roman" w:cs="Times New Roman"/>
          <w:sz w:val="24"/>
          <w:szCs w:val="24"/>
        </w:rPr>
        <w:t xml:space="preserve">2016 SCC 27 at para 46 </w:t>
      </w:r>
    </w:p>
    <w:p w:rsidR="00833D20" w:rsidRPr="00FC2343" w:rsidRDefault="000B53CF" w:rsidP="00FC2343">
      <w:pPr>
        <w:spacing w:line="480" w:lineRule="auto"/>
        <w:ind w:firstLine="720"/>
        <w:rPr>
          <w:rFonts w:ascii="Times New Roman" w:hAnsi="Times New Roman" w:cs="Times New Roman"/>
          <w:sz w:val="24"/>
          <w:szCs w:val="24"/>
        </w:rPr>
      </w:pPr>
      <w:r w:rsidRPr="00FC2343">
        <w:rPr>
          <w:rFonts w:ascii="Times New Roman" w:hAnsi="Times New Roman" w:cs="Times New Roman"/>
          <w:sz w:val="24"/>
          <w:szCs w:val="24"/>
        </w:rPr>
        <w:t>If the possible ceiling is exceeded, the crown receives the burden of rebutting presumptions of unreasonableness</w:t>
      </w:r>
      <w:r w:rsidRPr="00FC2343">
        <w:rPr>
          <w:rFonts w:ascii="Times New Roman" w:hAnsi="Times New Roman" w:cs="Times New Roman"/>
          <w:sz w:val="24"/>
          <w:szCs w:val="24"/>
        </w:rPr>
        <w:t xml:space="preserve"> basing on exceptional circumstances; otherwise, if the king fails to do so, a stay of the case should follow. The unique events can be out of crown's control in that, they are reasonabl</w:t>
      </w:r>
      <w:r w:rsidR="00E12A10" w:rsidRPr="00FC2343">
        <w:rPr>
          <w:rFonts w:ascii="Times New Roman" w:hAnsi="Times New Roman" w:cs="Times New Roman"/>
          <w:sz w:val="24"/>
          <w:szCs w:val="24"/>
        </w:rPr>
        <w:t>y unseen or unavoidable, and it is not possible to remedy them reasonably. The crown could avoid conditions evident in Mr. Rogers' case by issuing all disclosure to be used in the case in time. The king instead released part of the exposure leading to an additional delay of the situation.</w:t>
      </w:r>
    </w:p>
    <w:p w:rsidR="00E12A10" w:rsidRPr="00FC2343" w:rsidRDefault="000B53CF" w:rsidP="00FC2343">
      <w:pPr>
        <w:spacing w:line="480" w:lineRule="auto"/>
        <w:ind w:firstLine="720"/>
        <w:rPr>
          <w:rFonts w:ascii="Times New Roman" w:hAnsi="Times New Roman" w:cs="Times New Roman"/>
          <w:sz w:val="24"/>
          <w:szCs w:val="24"/>
        </w:rPr>
      </w:pPr>
      <w:r w:rsidRPr="00FC2343">
        <w:rPr>
          <w:rFonts w:ascii="Times New Roman" w:hAnsi="Times New Roman" w:cs="Times New Roman"/>
          <w:sz w:val="24"/>
          <w:szCs w:val="24"/>
        </w:rPr>
        <w:t>If determined that the exceptional c</w:t>
      </w:r>
      <w:r w:rsidRPr="00FC2343">
        <w:rPr>
          <w:rFonts w:ascii="Times New Roman" w:hAnsi="Times New Roman" w:cs="Times New Roman"/>
          <w:sz w:val="24"/>
          <w:szCs w:val="24"/>
        </w:rPr>
        <w:t xml:space="preserve">ircumstances for delay relate to discrete events such as unexpected events at trial or illness, then the delay is reasonable and is subtracted from the total delay. In case the circumstances are due to the case's complexity, the suspension is </w:t>
      </w:r>
      <w:r w:rsidRPr="00FC2343">
        <w:rPr>
          <w:rFonts w:ascii="Times New Roman" w:hAnsi="Times New Roman" w:cs="Times New Roman"/>
          <w:sz w:val="24"/>
          <w:szCs w:val="24"/>
        </w:rPr>
        <w:lastRenderedPageBreak/>
        <w:t>reasonable an</w:t>
      </w:r>
      <w:r w:rsidRPr="00FC2343">
        <w:rPr>
          <w:rFonts w:ascii="Times New Roman" w:hAnsi="Times New Roman" w:cs="Times New Roman"/>
          <w:sz w:val="24"/>
          <w:szCs w:val="24"/>
        </w:rPr>
        <w:t>d doesn't require further analysis. However, the seriousness of the offense and absence of prejudice committed cannot be used to justify delay that exceeds the ceiling. Once a long time has passed, only circumstances that are not in the crown's control can</w:t>
      </w:r>
      <w:r w:rsidRPr="00FC2343">
        <w:rPr>
          <w:rFonts w:ascii="Times New Roman" w:hAnsi="Times New Roman" w:cs="Times New Roman"/>
          <w:sz w:val="24"/>
          <w:szCs w:val="24"/>
        </w:rPr>
        <w:t xml:space="preserve"> be used to explain the delay.</w:t>
      </w:r>
      <w:r w:rsidR="00BA2EA5" w:rsidRPr="00FC2343">
        <w:rPr>
          <w:rFonts w:ascii="Times New Roman" w:hAnsi="Times New Roman" w:cs="Times New Roman"/>
          <w:sz w:val="24"/>
          <w:szCs w:val="24"/>
        </w:rPr>
        <w:t xml:space="preserve"> On March 9, 2017, no judge turned up for the fourth appearance due to the clerical error. The suspension should be deducted from the overall delay as this was not in crown's control. </w:t>
      </w:r>
    </w:p>
    <w:p w:rsidR="00577DF8" w:rsidRPr="00FC2343" w:rsidRDefault="000B53CF" w:rsidP="00FC2343">
      <w:pPr>
        <w:spacing w:line="480" w:lineRule="auto"/>
        <w:ind w:firstLine="720"/>
        <w:rPr>
          <w:rFonts w:ascii="Times New Roman" w:hAnsi="Times New Roman" w:cs="Times New Roman"/>
          <w:sz w:val="24"/>
          <w:szCs w:val="24"/>
        </w:rPr>
      </w:pPr>
      <w:r w:rsidRPr="00FC2343">
        <w:rPr>
          <w:rFonts w:ascii="Times New Roman" w:hAnsi="Times New Roman" w:cs="Times New Roman"/>
          <w:sz w:val="24"/>
          <w:szCs w:val="24"/>
        </w:rPr>
        <w:t xml:space="preserve">The pressure is also on defense to prove </w:t>
      </w:r>
      <w:r w:rsidRPr="00FC2343">
        <w:rPr>
          <w:rFonts w:ascii="Times New Roman" w:hAnsi="Times New Roman" w:cs="Times New Roman"/>
          <w:sz w:val="24"/>
          <w:szCs w:val="24"/>
        </w:rPr>
        <w:t>that the delay is unreasonable, by establishing that it employed meaningful steps that show an effort to expedite the proceedings and case took longer than it should have taken. The defense should indicate that it tried setting early dates possible for the</w:t>
      </w:r>
      <w:r w:rsidRPr="00FC2343">
        <w:rPr>
          <w:rFonts w:ascii="Times New Roman" w:hAnsi="Times New Roman" w:cs="Times New Roman"/>
          <w:sz w:val="24"/>
          <w:szCs w:val="24"/>
        </w:rPr>
        <w:t xml:space="preserve"> hearing, notified the crown on time when the delay was becoming a problem.</w:t>
      </w:r>
      <w:r w:rsidR="00BA2EA5" w:rsidRPr="00FC2343">
        <w:rPr>
          <w:rFonts w:ascii="Times New Roman" w:hAnsi="Times New Roman" w:cs="Times New Roman"/>
          <w:sz w:val="24"/>
          <w:szCs w:val="24"/>
        </w:rPr>
        <w:t xml:space="preserve"> Mr. Stark tried to arrange several days to start the pre-trial which were all unsuccessful due to factors concerning the crown. The April 6, 2017’ pre-trial could not be completed as the crown wanted to present another evidence in court</w:t>
      </w:r>
      <w:r w:rsidR="004B14A2" w:rsidRPr="00FC2343">
        <w:rPr>
          <w:rFonts w:ascii="Times New Roman" w:hAnsi="Times New Roman" w:cs="Times New Roman"/>
          <w:sz w:val="24"/>
          <w:szCs w:val="24"/>
        </w:rPr>
        <w:t>. The evidence was available from the date the officers arrested Mr. Rogers; hence the crown should have provided this disclosure with the other. Mr. Spark too has not been served with extensive and outstanding evidence that will be used against his client. It is his right to be served with complete evidence against Mr. Rogers.</w:t>
      </w:r>
    </w:p>
    <w:p w:rsidR="004B14A2" w:rsidRPr="00FC2343" w:rsidRDefault="000B53CF" w:rsidP="00FC2343">
      <w:pPr>
        <w:spacing w:line="480" w:lineRule="auto"/>
        <w:ind w:firstLine="720"/>
        <w:rPr>
          <w:rFonts w:ascii="Times New Roman" w:hAnsi="Times New Roman" w:cs="Times New Roman"/>
          <w:sz w:val="24"/>
          <w:szCs w:val="24"/>
        </w:rPr>
      </w:pPr>
      <w:r w:rsidRPr="00FC2343">
        <w:rPr>
          <w:rFonts w:ascii="Times New Roman" w:hAnsi="Times New Roman" w:cs="Times New Roman"/>
          <w:sz w:val="24"/>
          <w:szCs w:val="24"/>
        </w:rPr>
        <w:t xml:space="preserve">R v Smith indicated the first jurisprudential shift which would enable the crown and court to rationalize delays. Smith discussed the weighing of factors to be considered to determine whether an </w:t>
      </w:r>
      <w:r w:rsidR="00C067A7" w:rsidRPr="00FC2343">
        <w:rPr>
          <w:rFonts w:ascii="Times New Roman" w:hAnsi="Times New Roman" w:cs="Times New Roman"/>
          <w:sz w:val="24"/>
          <w:szCs w:val="24"/>
        </w:rPr>
        <w:t>accuser’s</w:t>
      </w:r>
      <w:r w:rsidRPr="00FC2343">
        <w:rPr>
          <w:rFonts w:ascii="Times New Roman" w:hAnsi="Times New Roman" w:cs="Times New Roman"/>
          <w:sz w:val="24"/>
          <w:szCs w:val="24"/>
        </w:rPr>
        <w:t xml:space="preserve"> section 11(b) rights have been breached. The court </w:t>
      </w:r>
      <w:r w:rsidRPr="00FC2343">
        <w:rPr>
          <w:rFonts w:ascii="Times New Roman" w:hAnsi="Times New Roman" w:cs="Times New Roman"/>
          <w:sz w:val="24"/>
          <w:szCs w:val="24"/>
        </w:rPr>
        <w:t xml:space="preserve">ruled that prejudice to the accused must be found but failed to acknowledge that unfairness is inherent in s. 11(b) violation. It put the burden on the accused to prove prejudice existing beyond the mere fact of the trial going </w:t>
      </w:r>
      <w:r w:rsidR="00262247" w:rsidRPr="00FC2343">
        <w:rPr>
          <w:rFonts w:ascii="Times New Roman" w:hAnsi="Times New Roman" w:cs="Times New Roman"/>
          <w:sz w:val="24"/>
          <w:szCs w:val="24"/>
        </w:rPr>
        <w:t>for an unreasonable time.</w:t>
      </w:r>
    </w:p>
    <w:p w:rsidR="00262247" w:rsidRPr="00FC2343" w:rsidRDefault="000B53CF" w:rsidP="00FC2343">
      <w:pPr>
        <w:spacing w:line="480" w:lineRule="auto"/>
        <w:jc w:val="center"/>
        <w:rPr>
          <w:rFonts w:ascii="Times New Roman" w:hAnsi="Times New Roman" w:cs="Times New Roman"/>
          <w:sz w:val="24"/>
          <w:szCs w:val="24"/>
        </w:rPr>
      </w:pPr>
      <w:r w:rsidRPr="00FC2343">
        <w:rPr>
          <w:rFonts w:ascii="Times New Roman" w:hAnsi="Times New Roman" w:cs="Times New Roman"/>
          <w:sz w:val="24"/>
          <w:szCs w:val="24"/>
        </w:rPr>
        <w:t xml:space="preserve">R </w:t>
      </w:r>
      <w:r w:rsidRPr="00FC2343">
        <w:rPr>
          <w:rFonts w:ascii="Times New Roman" w:hAnsi="Times New Roman" w:cs="Times New Roman"/>
          <w:sz w:val="24"/>
          <w:szCs w:val="24"/>
        </w:rPr>
        <w:t>v Smith, [1989] 2 SCR 1120, 52 CCC (3d) 97.</w:t>
      </w:r>
    </w:p>
    <w:p w:rsidR="00262247" w:rsidRPr="00FC2343" w:rsidRDefault="000B53CF" w:rsidP="00FC2343">
      <w:pPr>
        <w:spacing w:line="480" w:lineRule="auto"/>
        <w:ind w:firstLine="720"/>
        <w:rPr>
          <w:rFonts w:ascii="Times New Roman" w:hAnsi="Times New Roman" w:cs="Times New Roman"/>
          <w:sz w:val="24"/>
          <w:szCs w:val="24"/>
        </w:rPr>
      </w:pPr>
      <w:r w:rsidRPr="00FC2343">
        <w:rPr>
          <w:rFonts w:ascii="Times New Roman" w:hAnsi="Times New Roman" w:cs="Times New Roman"/>
          <w:sz w:val="24"/>
          <w:szCs w:val="24"/>
        </w:rPr>
        <w:lastRenderedPageBreak/>
        <w:t>This shift was cemented in R v Askov when the Court developed the first test to determine whether there was an infringement of the accused’s s. 11(b) Charter rights.  Askov was the first time that a societal inte</w:t>
      </w:r>
      <w:r w:rsidRPr="00FC2343">
        <w:rPr>
          <w:rFonts w:ascii="Times New Roman" w:hAnsi="Times New Roman" w:cs="Times New Roman"/>
          <w:sz w:val="24"/>
          <w:szCs w:val="24"/>
        </w:rPr>
        <w:t>rest in the trial within a reasonable time was considered within an accused's s. 11(b) rights. It weighs heavily in favor of the Crown, who would merely justify delay by demonstrating that the accused deliberately caused the delay or that the accused suffe</w:t>
      </w:r>
      <w:r w:rsidRPr="00FC2343">
        <w:rPr>
          <w:rFonts w:ascii="Times New Roman" w:hAnsi="Times New Roman" w:cs="Times New Roman"/>
          <w:sz w:val="24"/>
          <w:szCs w:val="24"/>
        </w:rPr>
        <w:t>red no prejudice due to the delay. While the Court acknowledged that over time the presumption that the accused suffered prejudice could not be rebutted, it was careful to prevent an accused’s s. 11(b) Charter right from becoming one which could be “transf</w:t>
      </w:r>
      <w:r w:rsidRPr="00FC2343">
        <w:rPr>
          <w:rFonts w:ascii="Times New Roman" w:hAnsi="Times New Roman" w:cs="Times New Roman"/>
          <w:sz w:val="24"/>
          <w:szCs w:val="24"/>
        </w:rPr>
        <w:t>ormed from a protective shield to an offensive weapon</w:t>
      </w:r>
      <w:r w:rsidR="00852304" w:rsidRPr="00FC2343">
        <w:rPr>
          <w:rFonts w:ascii="Times New Roman" w:hAnsi="Times New Roman" w:cs="Times New Roman"/>
          <w:sz w:val="24"/>
          <w:szCs w:val="24"/>
        </w:rPr>
        <w:t xml:space="preserve"> in the hands of the accused.”</w:t>
      </w:r>
      <w:r w:rsidRPr="00FC2343">
        <w:rPr>
          <w:rFonts w:ascii="Times New Roman" w:hAnsi="Times New Roman" w:cs="Times New Roman"/>
          <w:sz w:val="24"/>
          <w:szCs w:val="24"/>
        </w:rPr>
        <w:t xml:space="preserve"> With the guidelines offered for a trial within a reasonable time, it gave the accused a hard number to argue for any s. 11(b) Charter application, facilitating s. 11(b) cla</w:t>
      </w:r>
      <w:r w:rsidRPr="00FC2343">
        <w:rPr>
          <w:rFonts w:ascii="Times New Roman" w:hAnsi="Times New Roman" w:cs="Times New Roman"/>
          <w:sz w:val="24"/>
          <w:szCs w:val="24"/>
        </w:rPr>
        <w:t xml:space="preserve">ims. </w:t>
      </w:r>
    </w:p>
    <w:p w:rsidR="00852304" w:rsidRPr="00FC2343" w:rsidRDefault="000B53CF" w:rsidP="00FC2343">
      <w:pPr>
        <w:spacing w:line="480" w:lineRule="auto"/>
        <w:ind w:firstLine="720"/>
        <w:rPr>
          <w:rFonts w:ascii="Times New Roman" w:hAnsi="Times New Roman" w:cs="Times New Roman"/>
          <w:sz w:val="24"/>
          <w:szCs w:val="24"/>
        </w:rPr>
      </w:pPr>
      <w:r w:rsidRPr="00FC2343">
        <w:rPr>
          <w:rFonts w:ascii="Times New Roman" w:hAnsi="Times New Roman" w:cs="Times New Roman"/>
          <w:sz w:val="24"/>
          <w:szCs w:val="24"/>
        </w:rPr>
        <w:t>The Jordan framework was applied to the facts in the companion case to Jordan, R v Williamson. The accused was charged in 2009 with past sexual offenses against a minor. He was released on strict bail conditions from the time of his arrest in January</w:t>
      </w:r>
      <w:r w:rsidRPr="00FC2343">
        <w:rPr>
          <w:rFonts w:ascii="Times New Roman" w:hAnsi="Times New Roman" w:cs="Times New Roman"/>
          <w:sz w:val="24"/>
          <w:szCs w:val="24"/>
        </w:rPr>
        <w:t xml:space="preserve"> 2009 to the time of his trial in December 2011. The Court accepted the trial judge's assessment of the delay of 35 months: eight months of inherent delay, one month delay attributable to the Crown, and 26 months of institutional delay. The total delay min</w:t>
      </w:r>
      <w:r w:rsidRPr="00FC2343">
        <w:rPr>
          <w:rFonts w:ascii="Times New Roman" w:hAnsi="Times New Roman" w:cs="Times New Roman"/>
          <w:sz w:val="24"/>
          <w:szCs w:val="24"/>
        </w:rPr>
        <w:t>us defense delay was 34 months; thus the accused's s. 11(b) rights were infringed, and the Court of Appeal for Ontario's order for a stay of proceedings was upheld.</w:t>
      </w:r>
    </w:p>
    <w:p w:rsidR="00852304" w:rsidRPr="00FC2343" w:rsidRDefault="000B53CF" w:rsidP="00FC2343">
      <w:pPr>
        <w:spacing w:line="480" w:lineRule="auto"/>
        <w:jc w:val="center"/>
        <w:rPr>
          <w:rFonts w:ascii="Times New Roman" w:hAnsi="Times New Roman" w:cs="Times New Roman"/>
          <w:sz w:val="24"/>
          <w:szCs w:val="24"/>
        </w:rPr>
      </w:pPr>
      <w:r w:rsidRPr="00FC2343">
        <w:rPr>
          <w:rFonts w:ascii="Times New Roman" w:hAnsi="Times New Roman" w:cs="Times New Roman"/>
          <w:sz w:val="24"/>
          <w:szCs w:val="24"/>
        </w:rPr>
        <w:t>R v Williamson, 2016 SCC 28, [2016] SCR 741</w:t>
      </w:r>
    </w:p>
    <w:p w:rsidR="00852304" w:rsidRPr="00FC2343" w:rsidRDefault="000B53CF" w:rsidP="00FC2343">
      <w:pPr>
        <w:spacing w:line="480" w:lineRule="auto"/>
        <w:ind w:firstLine="720"/>
        <w:rPr>
          <w:rFonts w:ascii="Times New Roman" w:hAnsi="Times New Roman" w:cs="Times New Roman"/>
          <w:sz w:val="24"/>
          <w:szCs w:val="24"/>
        </w:rPr>
      </w:pPr>
      <w:r w:rsidRPr="00FC2343">
        <w:rPr>
          <w:rFonts w:ascii="Times New Roman" w:hAnsi="Times New Roman" w:cs="Times New Roman"/>
          <w:sz w:val="24"/>
          <w:szCs w:val="24"/>
        </w:rPr>
        <w:t xml:space="preserve">While the Jordan framework appeared to be more </w:t>
      </w:r>
      <w:r w:rsidRPr="00FC2343">
        <w:rPr>
          <w:rFonts w:ascii="Times New Roman" w:hAnsi="Times New Roman" w:cs="Times New Roman"/>
          <w:sz w:val="24"/>
          <w:szCs w:val="24"/>
        </w:rPr>
        <w:t>flexible in its application in Williamson, the framework is not without its faults. For example, it is less forgiving t</w:t>
      </w:r>
      <w:r w:rsidR="00D02B38" w:rsidRPr="00FC2343">
        <w:rPr>
          <w:rFonts w:ascii="Times New Roman" w:hAnsi="Times New Roman" w:cs="Times New Roman"/>
          <w:sz w:val="24"/>
          <w:szCs w:val="24"/>
        </w:rPr>
        <w:t>han the Askov/Morin framework.</w:t>
      </w:r>
      <w:r w:rsidRPr="00FC2343">
        <w:rPr>
          <w:rFonts w:ascii="Times New Roman" w:hAnsi="Times New Roman" w:cs="Times New Roman"/>
          <w:sz w:val="24"/>
          <w:szCs w:val="24"/>
        </w:rPr>
        <w:t xml:space="preserve"> Applying the Jordan framework to the facts of Askov, the delay would </w:t>
      </w:r>
      <w:r w:rsidRPr="00FC2343">
        <w:rPr>
          <w:rFonts w:ascii="Times New Roman" w:hAnsi="Times New Roman" w:cs="Times New Roman"/>
          <w:sz w:val="24"/>
          <w:szCs w:val="24"/>
        </w:rPr>
        <w:lastRenderedPageBreak/>
        <w:t>not have been presumptively unreasona</w:t>
      </w:r>
      <w:r w:rsidRPr="00FC2343">
        <w:rPr>
          <w:rFonts w:ascii="Times New Roman" w:hAnsi="Times New Roman" w:cs="Times New Roman"/>
          <w:sz w:val="24"/>
          <w:szCs w:val="24"/>
        </w:rPr>
        <w:t>ble. In Askov, the Court found that while there was 30 months' delay, six months' delay was attributable to the defense: the total delay would only amount to 24 months. This would be below the 30-month ceiling imposed in Jordan and absent defence counsel's</w:t>
      </w:r>
      <w:r w:rsidRPr="00FC2343">
        <w:rPr>
          <w:rFonts w:ascii="Times New Roman" w:hAnsi="Times New Roman" w:cs="Times New Roman"/>
          <w:sz w:val="24"/>
          <w:szCs w:val="24"/>
        </w:rPr>
        <w:t xml:space="preserve"> ability to demonstrate it took meaningful steps to expedite proceedings or that the case took markedly longer than it should have, no violation of the accused's s. 11(b) Charter rights would have been found. This delay occurred 27 years ago. The amount of</w:t>
      </w:r>
      <w:r w:rsidRPr="00FC2343">
        <w:rPr>
          <w:rFonts w:ascii="Times New Roman" w:hAnsi="Times New Roman" w:cs="Times New Roman"/>
          <w:sz w:val="24"/>
          <w:szCs w:val="24"/>
        </w:rPr>
        <w:t xml:space="preserve"> delay required to trigger a breach of s. 11(b) Charter rights should have decreased in that time, not increased. Heightened trial complexity is no excuse for the increase in delays: new casemanagement programs and technologies that could facilitate these </w:t>
      </w:r>
      <w:r w:rsidRPr="00FC2343">
        <w:rPr>
          <w:rFonts w:ascii="Times New Roman" w:hAnsi="Times New Roman" w:cs="Times New Roman"/>
          <w:sz w:val="24"/>
          <w:szCs w:val="24"/>
        </w:rPr>
        <w:t>complex trials have not been adopted or implemented in the criminal justice system</w:t>
      </w:r>
    </w:p>
    <w:p w:rsidR="00D02B38" w:rsidRPr="00FC2343" w:rsidRDefault="000B53CF" w:rsidP="00FC2343">
      <w:pPr>
        <w:spacing w:line="480" w:lineRule="auto"/>
        <w:ind w:firstLine="720"/>
        <w:rPr>
          <w:rFonts w:ascii="Times New Roman" w:hAnsi="Times New Roman" w:cs="Times New Roman"/>
          <w:sz w:val="24"/>
          <w:szCs w:val="24"/>
        </w:rPr>
      </w:pPr>
      <w:r w:rsidRPr="00FC2343">
        <w:rPr>
          <w:rFonts w:ascii="Times New Roman" w:hAnsi="Times New Roman" w:cs="Times New Roman"/>
          <w:sz w:val="24"/>
          <w:szCs w:val="24"/>
        </w:rPr>
        <w:t>The new framework requires the accused to take the initiative to expedite matters. Cromwell J, dissenting in Jordan, characterizes this requirement as a judicially-created d</w:t>
      </w:r>
      <w:r w:rsidRPr="00FC2343">
        <w:rPr>
          <w:rFonts w:ascii="Times New Roman" w:hAnsi="Times New Roman" w:cs="Times New Roman"/>
          <w:sz w:val="24"/>
          <w:szCs w:val="24"/>
        </w:rPr>
        <w:t>iminishment of a constitutional right. It requires the accused to actively attempt to prevent his or her Charter rights from being violated; blame is not solely placed on the lack of institutional or Crown resources. Toronto criminal defence lawyer Sean Ro</w:t>
      </w:r>
      <w:r w:rsidRPr="00FC2343">
        <w:rPr>
          <w:rFonts w:ascii="Times New Roman" w:hAnsi="Times New Roman" w:cs="Times New Roman"/>
          <w:sz w:val="24"/>
          <w:szCs w:val="24"/>
        </w:rPr>
        <w:t>bichaud voiced concerns over these duties: “[p]rotections that accused persons would otherwise enjoy are being sacrificed, or waived under coercive circumstances, to avoid a problem they often did not contribute towards.” The accused should not have to fig</w:t>
      </w:r>
      <w:r w:rsidRPr="00FC2343">
        <w:rPr>
          <w:rFonts w:ascii="Times New Roman" w:hAnsi="Times New Roman" w:cs="Times New Roman"/>
          <w:sz w:val="24"/>
          <w:szCs w:val="24"/>
        </w:rPr>
        <w:t>ht against a violation of his rights to have acted. 11(b) violation found and remedy ordered.</w:t>
      </w:r>
    </w:p>
    <w:p w:rsidR="00D02B38" w:rsidRPr="00FC2343" w:rsidRDefault="000B53CF" w:rsidP="00FC2343">
      <w:pPr>
        <w:spacing w:line="480" w:lineRule="auto"/>
        <w:ind w:firstLine="720"/>
        <w:rPr>
          <w:rFonts w:ascii="Times New Roman" w:hAnsi="Times New Roman" w:cs="Times New Roman"/>
          <w:sz w:val="24"/>
          <w:szCs w:val="24"/>
        </w:rPr>
      </w:pPr>
      <w:r w:rsidRPr="00FC2343">
        <w:rPr>
          <w:rFonts w:ascii="Times New Roman" w:hAnsi="Times New Roman" w:cs="Times New Roman"/>
          <w:sz w:val="24"/>
          <w:szCs w:val="24"/>
        </w:rPr>
        <w:t>Section 24(1) of the Charter is a broad remedial provision. It allows judges to be creative in proposing remedies for Charter breaches by providing an ambiguous a</w:t>
      </w:r>
      <w:r w:rsidRPr="00FC2343">
        <w:rPr>
          <w:rFonts w:ascii="Times New Roman" w:hAnsi="Times New Roman" w:cs="Times New Roman"/>
          <w:sz w:val="24"/>
          <w:szCs w:val="24"/>
        </w:rPr>
        <w:t xml:space="preserve">mbit of any “appropriate and just” remedy. Such remedies must be appropriate and just to both the claimant and the state. The most commons. 24(1) remedies are declaratory relief and an injunction but </w:t>
      </w:r>
      <w:r w:rsidRPr="00FC2343">
        <w:rPr>
          <w:rFonts w:ascii="Times New Roman" w:hAnsi="Times New Roman" w:cs="Times New Roman"/>
          <w:sz w:val="24"/>
          <w:szCs w:val="24"/>
        </w:rPr>
        <w:lastRenderedPageBreak/>
        <w:t>remedies such as damages, stay of proceeding, reduced se</w:t>
      </w:r>
      <w:r w:rsidRPr="00FC2343">
        <w:rPr>
          <w:rFonts w:ascii="Times New Roman" w:hAnsi="Times New Roman" w:cs="Times New Roman"/>
          <w:sz w:val="24"/>
          <w:szCs w:val="24"/>
        </w:rPr>
        <w:t>ntences and costs are available. Not all of these remedies are considered equitable remedies for s — 11 (b) violation. Lamer J noted in his dissent in Mills that after the passage of an unreasonable time, "no trial, not even the fairest possible trial," is</w:t>
      </w:r>
      <w:r w:rsidRPr="00FC2343">
        <w:rPr>
          <w:rFonts w:ascii="Times New Roman" w:hAnsi="Times New Roman" w:cs="Times New Roman"/>
          <w:sz w:val="24"/>
          <w:szCs w:val="24"/>
        </w:rPr>
        <w:t xml:space="preserve"> permissible and the minimum remedy to a breach of an accused's s. 11(b) Charter right is a stay of proceedings. While additional remedies, such as damages, may be appropriate in the circumstances, such remedies can only be added to a stay of actions when </w:t>
      </w:r>
      <w:r w:rsidRPr="00FC2343">
        <w:rPr>
          <w:rFonts w:ascii="Times New Roman" w:hAnsi="Times New Roman" w:cs="Times New Roman"/>
          <w:sz w:val="24"/>
          <w:szCs w:val="24"/>
        </w:rPr>
        <w:t>it is proven that there was malice or bad faith on behalf of the Crown that resulted in prejudice to the accused. The majority in Rahey v R adopted Lamer J’s reasoning in Mills that a stay of proceedings is a minimum remedy to s. 11(b). Thus, the broad amb</w:t>
      </w:r>
      <w:r w:rsidRPr="00FC2343">
        <w:rPr>
          <w:rFonts w:ascii="Times New Roman" w:hAnsi="Times New Roman" w:cs="Times New Roman"/>
          <w:sz w:val="24"/>
          <w:szCs w:val="24"/>
        </w:rPr>
        <w:t xml:space="preserve">it of remedies available under s. 24(1) becomes closed when remedying s — 11 (b) violation. </w:t>
      </w:r>
    </w:p>
    <w:p w:rsidR="00D02B38" w:rsidRPr="00FC2343" w:rsidRDefault="000B53CF" w:rsidP="00FC2343">
      <w:pPr>
        <w:spacing w:line="480" w:lineRule="auto"/>
        <w:jc w:val="center"/>
        <w:rPr>
          <w:rFonts w:ascii="Times New Roman" w:hAnsi="Times New Roman" w:cs="Times New Roman"/>
          <w:sz w:val="24"/>
          <w:szCs w:val="24"/>
        </w:rPr>
      </w:pPr>
      <w:r w:rsidRPr="00FC2343">
        <w:rPr>
          <w:rFonts w:ascii="Times New Roman" w:hAnsi="Times New Roman" w:cs="Times New Roman"/>
          <w:sz w:val="24"/>
          <w:szCs w:val="24"/>
        </w:rPr>
        <w:t>Mills, supra note seven at 928.</w:t>
      </w:r>
    </w:p>
    <w:p w:rsidR="00D02B38" w:rsidRPr="00FC2343" w:rsidRDefault="000B53CF" w:rsidP="00FC2343">
      <w:pPr>
        <w:spacing w:line="480" w:lineRule="auto"/>
        <w:ind w:firstLine="720"/>
        <w:rPr>
          <w:rFonts w:ascii="Times New Roman" w:hAnsi="Times New Roman" w:cs="Times New Roman"/>
          <w:sz w:val="24"/>
          <w:szCs w:val="24"/>
        </w:rPr>
      </w:pPr>
      <w:r w:rsidRPr="00FC2343">
        <w:rPr>
          <w:rFonts w:ascii="Times New Roman" w:hAnsi="Times New Roman" w:cs="Times New Roman"/>
          <w:sz w:val="24"/>
          <w:szCs w:val="24"/>
        </w:rPr>
        <w:t xml:space="preserve">The appropriate remedy for a breach of as. 11(b) right has not been challenged in the 30 years of the Supreme Court of Canada s. </w:t>
      </w:r>
      <w:r w:rsidRPr="00FC2343">
        <w:rPr>
          <w:rFonts w:ascii="Times New Roman" w:hAnsi="Times New Roman" w:cs="Times New Roman"/>
          <w:sz w:val="24"/>
          <w:szCs w:val="24"/>
        </w:rPr>
        <w:t>11(b) jurisprudence since Rahey: a stay of proceedings remains the remedy. Consequently, the breadth of judicial discretion in s. 24(1) remedies for s. 11(b) violations remain stunted: additional remedies can only be added to a stay of proceedings in limit</w:t>
      </w:r>
      <w:r w:rsidRPr="00FC2343">
        <w:rPr>
          <w:rFonts w:ascii="Times New Roman" w:hAnsi="Times New Roman" w:cs="Times New Roman"/>
          <w:sz w:val="24"/>
          <w:szCs w:val="24"/>
        </w:rPr>
        <w:t>ed circumstances. This erodes the creativity of judges and the possibilities of alternative remedies to remains given the current state of the criminal justice system and the overwhelming amount of s. 11(b) applications since Jordan</w:t>
      </w:r>
      <w:r w:rsidR="00FC2343" w:rsidRPr="00FC2343">
        <w:rPr>
          <w:rFonts w:ascii="Times New Roman" w:hAnsi="Times New Roman" w:cs="Times New Roman"/>
          <w:sz w:val="24"/>
          <w:szCs w:val="24"/>
        </w:rPr>
        <w:t>.</w:t>
      </w:r>
    </w:p>
    <w:p w:rsidR="00636307" w:rsidRDefault="000B53CF" w:rsidP="00FC2343">
      <w:pPr>
        <w:spacing w:line="480" w:lineRule="auto"/>
        <w:ind w:firstLine="720"/>
        <w:rPr>
          <w:rFonts w:ascii="Times New Roman" w:hAnsi="Times New Roman" w:cs="Times New Roman"/>
          <w:sz w:val="24"/>
          <w:szCs w:val="24"/>
        </w:rPr>
      </w:pPr>
      <w:r w:rsidRPr="00FC2343">
        <w:rPr>
          <w:rFonts w:ascii="Times New Roman" w:hAnsi="Times New Roman" w:cs="Times New Roman"/>
          <w:sz w:val="24"/>
          <w:szCs w:val="24"/>
        </w:rPr>
        <w:t>Court demonstrates the</w:t>
      </w:r>
      <w:r w:rsidRPr="00FC2343">
        <w:rPr>
          <w:rFonts w:ascii="Times New Roman" w:hAnsi="Times New Roman" w:cs="Times New Roman"/>
          <w:sz w:val="24"/>
          <w:szCs w:val="24"/>
        </w:rPr>
        <w:t xml:space="preserve"> potential for creativity for s. 24(1) remedies. Perhaps in a post-Jordan world changes must also manifest concerning the remedies available to justices under s. 24(1). The presumptive ceilings in Jordan show that any delay above 18 or 30 months is presump</w:t>
      </w:r>
      <w:r w:rsidRPr="00FC2343">
        <w:rPr>
          <w:rFonts w:ascii="Times New Roman" w:hAnsi="Times New Roman" w:cs="Times New Roman"/>
          <w:sz w:val="24"/>
          <w:szCs w:val="24"/>
        </w:rPr>
        <w:t xml:space="preserve">tively unreasonable and thus Lamer J's reasoning from Mills remains influential: any trial that has gone on for an unreasonably long time cannot continue. However, there is room for </w:t>
      </w:r>
      <w:r w:rsidRPr="00FC2343">
        <w:rPr>
          <w:rFonts w:ascii="Times New Roman" w:hAnsi="Times New Roman" w:cs="Times New Roman"/>
          <w:sz w:val="24"/>
          <w:szCs w:val="24"/>
        </w:rPr>
        <w:lastRenderedPageBreak/>
        <w:t xml:space="preserve">expansion in s. 24(1) remedy where the delay is either below or above the </w:t>
      </w:r>
      <w:r w:rsidRPr="00FC2343">
        <w:rPr>
          <w:rFonts w:ascii="Times New Roman" w:hAnsi="Times New Roman" w:cs="Times New Roman"/>
          <w:sz w:val="24"/>
          <w:szCs w:val="24"/>
        </w:rPr>
        <w:t>presumptive ceiling but exceptional circumstances exist. It also is restrictive in terms of awarding costs or a reduction in sentence in lieu of a stay of proceedings, as in Vancouver. A claim for s. 24(1) damages in civil court come at an extra expense to</w:t>
      </w:r>
      <w:r w:rsidRPr="00FC2343">
        <w:rPr>
          <w:rFonts w:ascii="Times New Roman" w:hAnsi="Times New Roman" w:cs="Times New Roman"/>
          <w:sz w:val="24"/>
          <w:szCs w:val="24"/>
        </w:rPr>
        <w:t xml:space="preserve"> the accused. As losses are only considered an additional remedy to a stay of proceedings, the risk in seeking damages will likely outweigh any potential damage award. In most situations, civil courts are not accessible to those accused criminally, and dam</w:t>
      </w:r>
      <w:r w:rsidRPr="00FC2343">
        <w:rPr>
          <w:rFonts w:ascii="Times New Roman" w:hAnsi="Times New Roman" w:cs="Times New Roman"/>
          <w:sz w:val="24"/>
          <w:szCs w:val="24"/>
        </w:rPr>
        <w:t>ages remain elusive due to prohibitive costs.</w:t>
      </w:r>
    </w:p>
    <w:p w:rsidR="00636307" w:rsidRDefault="00636307" w:rsidP="00636307">
      <w:pPr>
        <w:rPr>
          <w:rFonts w:ascii="Times New Roman" w:hAnsi="Times New Roman" w:cs="Times New Roman"/>
          <w:sz w:val="24"/>
          <w:szCs w:val="24"/>
        </w:rPr>
      </w:pPr>
    </w:p>
    <w:p w:rsidR="00FC2343" w:rsidRDefault="000B53CF" w:rsidP="00636307">
      <w:pPr>
        <w:tabs>
          <w:tab w:val="left" w:pos="5910"/>
        </w:tabs>
        <w:rPr>
          <w:rFonts w:ascii="Times New Roman" w:hAnsi="Times New Roman" w:cs="Times New Roman"/>
          <w:sz w:val="24"/>
          <w:szCs w:val="24"/>
        </w:rPr>
      </w:pPr>
      <w:r>
        <w:rPr>
          <w:rFonts w:ascii="Times New Roman" w:hAnsi="Times New Roman" w:cs="Times New Roman"/>
          <w:sz w:val="24"/>
          <w:szCs w:val="24"/>
        </w:rPr>
        <w:tab/>
      </w:r>
    </w:p>
    <w:p w:rsidR="00636307" w:rsidRDefault="00636307" w:rsidP="00636307">
      <w:pPr>
        <w:tabs>
          <w:tab w:val="left" w:pos="5910"/>
        </w:tabs>
        <w:rPr>
          <w:rFonts w:ascii="Times New Roman" w:hAnsi="Times New Roman" w:cs="Times New Roman"/>
          <w:sz w:val="24"/>
          <w:szCs w:val="24"/>
        </w:rPr>
      </w:pPr>
    </w:p>
    <w:p w:rsidR="00636307" w:rsidRDefault="000B53CF">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636307" w:rsidRDefault="000B53CF" w:rsidP="005631AA">
      <w:pPr>
        <w:tabs>
          <w:tab w:val="left" w:pos="5910"/>
        </w:tabs>
        <w:jc w:val="center"/>
        <w:rPr>
          <w:rFonts w:ascii="Times New Roman" w:hAnsi="Times New Roman" w:cs="Times New Roman"/>
          <w:sz w:val="24"/>
          <w:szCs w:val="24"/>
        </w:rPr>
      </w:pPr>
      <w:r>
        <w:rPr>
          <w:rFonts w:ascii="Times New Roman" w:hAnsi="Times New Roman" w:cs="Times New Roman"/>
          <w:sz w:val="24"/>
          <w:szCs w:val="24"/>
        </w:rPr>
        <w:lastRenderedPageBreak/>
        <w:t>Works Cited</w:t>
      </w:r>
      <w:bookmarkStart w:id="0" w:name="_GoBack"/>
      <w:bookmarkEnd w:id="0"/>
    </w:p>
    <w:p w:rsidR="005631AA" w:rsidRPr="005631AA" w:rsidRDefault="000B53CF" w:rsidP="005631AA">
      <w:pPr>
        <w:tabs>
          <w:tab w:val="left" w:pos="5910"/>
        </w:tabs>
        <w:rPr>
          <w:rFonts w:ascii="Times New Roman" w:hAnsi="Times New Roman" w:cs="Times New Roman"/>
          <w:color w:val="222222"/>
          <w:sz w:val="24"/>
          <w:szCs w:val="24"/>
          <w:shd w:val="clear" w:color="auto" w:fill="FFFFFF"/>
        </w:rPr>
      </w:pPr>
      <w:r w:rsidRPr="005631AA">
        <w:rPr>
          <w:rFonts w:ascii="Times New Roman" w:hAnsi="Times New Roman" w:cs="Times New Roman"/>
          <w:i/>
          <w:iCs/>
          <w:color w:val="222222"/>
          <w:sz w:val="24"/>
          <w:szCs w:val="24"/>
          <w:shd w:val="clear" w:color="auto" w:fill="FFFFFF"/>
        </w:rPr>
        <w:t>Mannington Mills, Inc. v. Congoleum Corp.</w:t>
      </w:r>
      <w:r w:rsidRPr="005631AA">
        <w:rPr>
          <w:rFonts w:ascii="Times New Roman" w:hAnsi="Times New Roman" w:cs="Times New Roman"/>
          <w:color w:val="222222"/>
          <w:sz w:val="24"/>
          <w:szCs w:val="24"/>
          <w:shd w:val="clear" w:color="auto" w:fill="FFFFFF"/>
        </w:rPr>
        <w:t>, 595 F.2d 1287 (3d Cir. 1979).</w:t>
      </w:r>
    </w:p>
    <w:p w:rsidR="00636307" w:rsidRPr="005631AA" w:rsidRDefault="000B53CF" w:rsidP="00636307">
      <w:pPr>
        <w:tabs>
          <w:tab w:val="left" w:pos="5910"/>
        </w:tabs>
        <w:rPr>
          <w:rFonts w:ascii="Times New Roman" w:hAnsi="Times New Roman" w:cs="Times New Roman"/>
          <w:color w:val="222222"/>
          <w:sz w:val="24"/>
          <w:szCs w:val="24"/>
          <w:shd w:val="clear" w:color="auto" w:fill="FFFFFF"/>
        </w:rPr>
      </w:pPr>
      <w:r w:rsidRPr="005631AA">
        <w:rPr>
          <w:rFonts w:ascii="Times New Roman" w:hAnsi="Times New Roman" w:cs="Times New Roman"/>
          <w:i/>
          <w:iCs/>
          <w:color w:val="222222"/>
          <w:sz w:val="24"/>
          <w:szCs w:val="24"/>
          <w:shd w:val="clear" w:color="auto" w:fill="FFFFFF"/>
        </w:rPr>
        <w:t>R. v. Jordan</w:t>
      </w:r>
      <w:r w:rsidRPr="005631AA">
        <w:rPr>
          <w:rFonts w:ascii="Times New Roman" w:hAnsi="Times New Roman" w:cs="Times New Roman"/>
          <w:color w:val="222222"/>
          <w:sz w:val="24"/>
          <w:szCs w:val="24"/>
          <w:shd w:val="clear" w:color="auto" w:fill="FFFFFF"/>
        </w:rPr>
        <w:t>, 2016 S.C.C. 27 (2016).</w:t>
      </w:r>
    </w:p>
    <w:p w:rsidR="005631AA" w:rsidRPr="005631AA" w:rsidRDefault="000B53CF" w:rsidP="00636307">
      <w:pPr>
        <w:tabs>
          <w:tab w:val="left" w:pos="5910"/>
        </w:tabs>
        <w:rPr>
          <w:rFonts w:ascii="Times New Roman" w:hAnsi="Times New Roman" w:cs="Times New Roman"/>
          <w:color w:val="222222"/>
          <w:sz w:val="24"/>
          <w:szCs w:val="24"/>
          <w:shd w:val="clear" w:color="auto" w:fill="FFFFFF"/>
        </w:rPr>
      </w:pPr>
      <w:r w:rsidRPr="005631AA">
        <w:rPr>
          <w:rFonts w:ascii="Times New Roman" w:hAnsi="Times New Roman" w:cs="Times New Roman"/>
          <w:i/>
          <w:iCs/>
          <w:color w:val="222222"/>
          <w:sz w:val="24"/>
          <w:szCs w:val="24"/>
          <w:shd w:val="clear" w:color="auto" w:fill="FFFFFF"/>
        </w:rPr>
        <w:t>R. v. Smith</w:t>
      </w:r>
      <w:r w:rsidRPr="005631AA">
        <w:rPr>
          <w:rFonts w:ascii="Times New Roman" w:hAnsi="Times New Roman" w:cs="Times New Roman"/>
          <w:color w:val="222222"/>
          <w:sz w:val="24"/>
          <w:szCs w:val="24"/>
          <w:shd w:val="clear" w:color="auto" w:fill="FFFFFF"/>
        </w:rPr>
        <w:t>, 1989 S.C.R.2 1120 (1989).</w:t>
      </w:r>
    </w:p>
    <w:p w:rsidR="005631AA" w:rsidRPr="005631AA" w:rsidRDefault="000B53CF" w:rsidP="005631AA">
      <w:pPr>
        <w:spacing w:line="480" w:lineRule="auto"/>
        <w:rPr>
          <w:rFonts w:ascii="Times New Roman" w:hAnsi="Times New Roman" w:cs="Times New Roman"/>
          <w:sz w:val="24"/>
          <w:szCs w:val="24"/>
        </w:rPr>
      </w:pPr>
      <w:r w:rsidRPr="005631AA">
        <w:rPr>
          <w:rFonts w:ascii="Times New Roman" w:hAnsi="Times New Roman" w:cs="Times New Roman"/>
          <w:sz w:val="24"/>
          <w:szCs w:val="24"/>
        </w:rPr>
        <w:t>R v Williamson, 2016 SCC 28, [2016] SCR 741</w:t>
      </w:r>
    </w:p>
    <w:sectPr w:rsidR="005631AA" w:rsidRPr="005631AA" w:rsidSect="005B1759">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53CF" w:rsidRDefault="000B53CF" w:rsidP="005B1759">
      <w:pPr>
        <w:spacing w:after="0" w:line="240" w:lineRule="auto"/>
      </w:pPr>
      <w:r>
        <w:separator/>
      </w:r>
    </w:p>
  </w:endnote>
  <w:endnote w:type="continuationSeparator" w:id="1">
    <w:p w:rsidR="000B53CF" w:rsidRDefault="000B53CF" w:rsidP="005B17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53CF" w:rsidRDefault="000B53CF" w:rsidP="005B1759">
      <w:pPr>
        <w:spacing w:after="0" w:line="240" w:lineRule="auto"/>
      </w:pPr>
      <w:r>
        <w:separator/>
      </w:r>
    </w:p>
  </w:footnote>
  <w:footnote w:type="continuationSeparator" w:id="1">
    <w:p w:rsidR="000B53CF" w:rsidRDefault="000B53CF" w:rsidP="005B17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08695407"/>
      <w:docPartObj>
        <w:docPartGallery w:val="Page Numbers (Top of Page)"/>
        <w:docPartUnique/>
      </w:docPartObj>
    </w:sdtPr>
    <w:sdtEndPr>
      <w:rPr>
        <w:noProof/>
      </w:rPr>
    </w:sdtEndPr>
    <w:sdtContent>
      <w:p w:rsidR="00636307" w:rsidRPr="00636307" w:rsidRDefault="000B53CF">
        <w:pPr>
          <w:pStyle w:val="Header"/>
          <w:jc w:val="right"/>
          <w:rPr>
            <w:rFonts w:ascii="Times New Roman" w:hAnsi="Times New Roman" w:cs="Times New Roman"/>
            <w:sz w:val="24"/>
            <w:szCs w:val="24"/>
          </w:rPr>
        </w:pPr>
        <w:r w:rsidRPr="00636307">
          <w:rPr>
            <w:rFonts w:ascii="Times New Roman" w:hAnsi="Times New Roman" w:cs="Times New Roman"/>
            <w:sz w:val="24"/>
            <w:szCs w:val="24"/>
          </w:rPr>
          <w:t xml:space="preserve">Surname </w:t>
        </w:r>
        <w:r w:rsidR="005B1759" w:rsidRPr="00636307">
          <w:rPr>
            <w:rFonts w:ascii="Times New Roman" w:hAnsi="Times New Roman" w:cs="Times New Roman"/>
            <w:sz w:val="24"/>
            <w:szCs w:val="24"/>
          </w:rPr>
          <w:fldChar w:fldCharType="begin"/>
        </w:r>
        <w:r w:rsidRPr="00636307">
          <w:rPr>
            <w:rFonts w:ascii="Times New Roman" w:hAnsi="Times New Roman" w:cs="Times New Roman"/>
            <w:sz w:val="24"/>
            <w:szCs w:val="24"/>
          </w:rPr>
          <w:instrText xml:space="preserve"> PAGE   \* MERGEFORMAT </w:instrText>
        </w:r>
        <w:r w:rsidR="005B1759" w:rsidRPr="00636307">
          <w:rPr>
            <w:rFonts w:ascii="Times New Roman" w:hAnsi="Times New Roman" w:cs="Times New Roman"/>
            <w:sz w:val="24"/>
            <w:szCs w:val="24"/>
          </w:rPr>
          <w:fldChar w:fldCharType="separate"/>
        </w:r>
        <w:r w:rsidR="00C067A7">
          <w:rPr>
            <w:rFonts w:ascii="Times New Roman" w:hAnsi="Times New Roman" w:cs="Times New Roman"/>
            <w:noProof/>
            <w:sz w:val="24"/>
            <w:szCs w:val="24"/>
          </w:rPr>
          <w:t>7</w:t>
        </w:r>
        <w:r w:rsidR="005B1759" w:rsidRPr="00636307">
          <w:rPr>
            <w:rFonts w:ascii="Times New Roman" w:hAnsi="Times New Roman" w:cs="Times New Roman"/>
            <w:noProof/>
            <w:sz w:val="24"/>
            <w:szCs w:val="24"/>
          </w:rPr>
          <w:fldChar w:fldCharType="end"/>
        </w:r>
      </w:p>
    </w:sdtContent>
  </w:sdt>
  <w:p w:rsidR="00636307" w:rsidRPr="00636307" w:rsidRDefault="00636307">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5B13ED"/>
    <w:multiLevelType w:val="hybridMultilevel"/>
    <w:tmpl w:val="5D86673E"/>
    <w:lvl w:ilvl="0" w:tplc="3E04B082">
      <w:start w:val="1"/>
      <w:numFmt w:val="decimal"/>
      <w:lvlText w:val="%1."/>
      <w:lvlJc w:val="left"/>
      <w:pPr>
        <w:ind w:left="720" w:hanging="360"/>
      </w:pPr>
    </w:lvl>
    <w:lvl w:ilvl="1" w:tplc="1DB4C430">
      <w:start w:val="1"/>
      <w:numFmt w:val="lowerLetter"/>
      <w:lvlText w:val="%2."/>
      <w:lvlJc w:val="left"/>
      <w:pPr>
        <w:ind w:left="1440" w:hanging="360"/>
      </w:pPr>
    </w:lvl>
    <w:lvl w:ilvl="2" w:tplc="E8940724">
      <w:start w:val="1"/>
      <w:numFmt w:val="lowerRoman"/>
      <w:lvlText w:val="%3."/>
      <w:lvlJc w:val="right"/>
      <w:pPr>
        <w:ind w:left="2160" w:hanging="180"/>
      </w:pPr>
    </w:lvl>
    <w:lvl w:ilvl="3" w:tplc="613A8C36">
      <w:start w:val="1"/>
      <w:numFmt w:val="decimal"/>
      <w:lvlText w:val="%4."/>
      <w:lvlJc w:val="left"/>
      <w:pPr>
        <w:ind w:left="2880" w:hanging="360"/>
      </w:pPr>
    </w:lvl>
    <w:lvl w:ilvl="4" w:tplc="85C2ED04">
      <w:start w:val="1"/>
      <w:numFmt w:val="lowerLetter"/>
      <w:lvlText w:val="%5."/>
      <w:lvlJc w:val="left"/>
      <w:pPr>
        <w:ind w:left="3600" w:hanging="360"/>
      </w:pPr>
    </w:lvl>
    <w:lvl w:ilvl="5" w:tplc="5E508F8A">
      <w:start w:val="1"/>
      <w:numFmt w:val="lowerRoman"/>
      <w:lvlText w:val="%6."/>
      <w:lvlJc w:val="right"/>
      <w:pPr>
        <w:ind w:left="4320" w:hanging="180"/>
      </w:pPr>
    </w:lvl>
    <w:lvl w:ilvl="6" w:tplc="2112343A">
      <w:start w:val="1"/>
      <w:numFmt w:val="decimal"/>
      <w:lvlText w:val="%7."/>
      <w:lvlJc w:val="left"/>
      <w:pPr>
        <w:ind w:left="5040" w:hanging="360"/>
      </w:pPr>
    </w:lvl>
    <w:lvl w:ilvl="7" w:tplc="1EA87EAC">
      <w:start w:val="1"/>
      <w:numFmt w:val="lowerLetter"/>
      <w:lvlText w:val="%8."/>
      <w:lvlJc w:val="left"/>
      <w:pPr>
        <w:ind w:left="5760" w:hanging="360"/>
      </w:pPr>
    </w:lvl>
    <w:lvl w:ilvl="8" w:tplc="FFC25DF2">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C41CF"/>
    <w:rsid w:val="000B53CF"/>
    <w:rsid w:val="0015018C"/>
    <w:rsid w:val="00262247"/>
    <w:rsid w:val="003D2763"/>
    <w:rsid w:val="004B14A2"/>
    <w:rsid w:val="005631AA"/>
    <w:rsid w:val="00577DF8"/>
    <w:rsid w:val="005B1759"/>
    <w:rsid w:val="00636307"/>
    <w:rsid w:val="007C41CF"/>
    <w:rsid w:val="00833D20"/>
    <w:rsid w:val="00852304"/>
    <w:rsid w:val="00BA2EA5"/>
    <w:rsid w:val="00C067A7"/>
    <w:rsid w:val="00CC5F9E"/>
    <w:rsid w:val="00D02B38"/>
    <w:rsid w:val="00DE3D96"/>
    <w:rsid w:val="00E12A10"/>
    <w:rsid w:val="00FC23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1CF"/>
    <w:pPr>
      <w:spacing w:after="160" w:line="256"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41CF"/>
    <w:pPr>
      <w:ind w:left="720"/>
      <w:contextualSpacing/>
    </w:pPr>
  </w:style>
  <w:style w:type="paragraph" w:styleId="Header">
    <w:name w:val="header"/>
    <w:basedOn w:val="Normal"/>
    <w:link w:val="HeaderChar"/>
    <w:uiPriority w:val="99"/>
    <w:unhideWhenUsed/>
    <w:rsid w:val="006363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307"/>
    <w:rPr>
      <w:lang w:val="en-CA"/>
    </w:rPr>
  </w:style>
  <w:style w:type="paragraph" w:styleId="Footer">
    <w:name w:val="footer"/>
    <w:basedOn w:val="Normal"/>
    <w:link w:val="FooterChar"/>
    <w:uiPriority w:val="99"/>
    <w:unhideWhenUsed/>
    <w:rsid w:val="006363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307"/>
    <w:rPr>
      <w:lang w:val="en-C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7</Pages>
  <Words>1546</Words>
  <Characters>8813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3</cp:revision>
  <dcterms:created xsi:type="dcterms:W3CDTF">2019-03-27T07:18:00Z</dcterms:created>
  <dcterms:modified xsi:type="dcterms:W3CDTF">2019-03-27T10:36:00Z</dcterms:modified>
</cp:coreProperties>
</file>